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b/>
          <w:bCs/>
          <w:color w:val="000000"/>
          <w:sz w:val="27"/>
        </w:rPr>
        <w:t>ՀԱՅԱՍՏԱՆԻ ՀԱՆՐԱՊԵՏՈՒԹՅԱՆ ԿԱՌԱՎԱՐՈՒԹՅՈՒՆ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b/>
          <w:bCs/>
          <w:color w:val="000000"/>
          <w:sz w:val="36"/>
        </w:rPr>
        <w:t>Ո Ր Ո Շ ՈՒ Մ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2021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987-Ն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</w:rPr>
        <w:t>ԳՅՈՒՂԱՏՆՏԵՍԱԿԱՆ ՆՇԱՆԱԿՈՒԹՅԱՆ ՀՈՂԵՐԸ ՈՉ ԳՅՈՒՂԱՏՆՏԵՍԱԿԱՆ ՆՇԱՆԱԿՈՒԹՅԱՆ ՀՈՂԵՐԻ ՓՈԽԱԴՐՄԱՆ ԴԵՊՔԵՐԸ ՍԱՀՄԱՆԵԼՈՒ ՄԱՍԻՆ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Հիմք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9-րդ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3-րդ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մասը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A776B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A776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որոշում</w:t>
      </w:r>
      <w:proofErr w:type="spellEnd"/>
      <w:r w:rsidRPr="001A776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է.</w:t>
      </w:r>
      <w:proofErr w:type="gramEnd"/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Սահմանել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օրվանից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1A776B" w:rsidRPr="001A776B" w:rsidTr="001A776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Հայաստանի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Հանրապետության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փոխվարչապետի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պաշտոնակատար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A776B" w:rsidRPr="001A776B" w:rsidRDefault="001A776B" w:rsidP="001A776B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Տ.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Ավինյան</w:t>
            </w:r>
            <w:proofErr w:type="spellEnd"/>
          </w:p>
        </w:tc>
      </w:tr>
      <w:tr w:rsidR="001A776B" w:rsidRPr="001A776B" w:rsidTr="001A776B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    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7"/>
        <w:gridCol w:w="4521"/>
      </w:tblGrid>
      <w:tr w:rsidR="001A776B" w:rsidRPr="001A776B" w:rsidTr="001A77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17.06.2021</w:t>
            </w:r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7"/>
        <w:gridCol w:w="4521"/>
      </w:tblGrid>
      <w:tr w:rsidR="001A776B" w:rsidRPr="001A776B" w:rsidTr="001A77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Հավելված</w:t>
            </w:r>
            <w:proofErr w:type="spellEnd"/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ՀՀ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կառավարության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2021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թվականի</w:t>
            </w:r>
            <w:proofErr w:type="spellEnd"/>
          </w:p>
          <w:p w:rsidR="001A776B" w:rsidRPr="001A776B" w:rsidRDefault="001A776B" w:rsidP="001A776B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հունիսի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 xml:space="preserve"> 17-ի N 987-Ն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</w:rPr>
              <w:t>որոշման</w:t>
            </w:r>
            <w:proofErr w:type="spellEnd"/>
          </w:p>
        </w:tc>
      </w:tr>
    </w:tbl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1A776B" w:rsidRPr="001A776B" w:rsidRDefault="001A776B" w:rsidP="001A776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</w:rPr>
        <w:t>ԳՅՈՒՂԱՏՆՏԵՍԱԿԱՆ ՆՇԱՆԱԿՈՒԹՅԱՆ ՀՈՂԵՐԸ ՈՉ ԳՅՈՒՂԱՏՆՏԵՍԱԿԱՆ ՆՇԱՆԱԿՈՒԹՅԱՆ ՀՈՂԵՐԻ ՓՈԽԱԴՐՄԱՆ ԴԵՊՔԵՐԸ</w:t>
      </w:r>
    </w:p>
    <w:p w:rsidR="001A776B" w:rsidRPr="001A776B" w:rsidRDefault="001A776B" w:rsidP="001A776B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    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հատուկ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պահպանվող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անտառային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ստեղծման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նշանակությամբ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պիտանի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ճահճացած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գերխոնավացած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աղակալված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էրոզացված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անտառային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ջրային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ճանապարհների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էլեկտրահաղորդման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կապի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գծերի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ենթակայանների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գազատարների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խողովակաշարերի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երկաթուղային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գծերի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ցամաքուրդների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նմանատիպ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գծային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միջպետական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ավտոմոբիլային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հարող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կառուցապատման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առանցքից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100 մ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հեռավորությամբ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մարզային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ճանապարհների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50 մ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հեռավորությամբ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միջազգային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երկրի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ինժեներատեխնիկական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կառույցների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7)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Էկոնոմիկայի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հավանության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արժանացած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շրջակա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միջավայրի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ազդեցության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փորձաքննություն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փաթեթում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տեղակայումը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ՎԻ ՋԻ ԷՍ-84 (WGS-84) ԱՐՄՐԵՖ 02 (ARMREF 02)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գեոդեզիական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կոորդինատային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ընդերքօգտագործման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շրջակա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միջավայրի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ազդեցության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փորձաքննություն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ծրագրի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նախագծի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ռեկուլտիվացիայի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առկայությամբ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ընդլայնման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գերեզմանատների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ընդլայնման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ջրամբարների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ոռոգման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նպատակներով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կառուցվող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ջրավազանների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մաքրման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կայանների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ջրօգտագործման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թույլտվություն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ստացած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խորքային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հորերի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պոմպակայանների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մտնելը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շինությունների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օրինականացման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առողջապահական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սպորտի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արդյունաբերական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էներգետիկ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շինությունների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հողատեսքերի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արոտավայրերի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խոտհարքների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և 5-րդ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գնահատման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համայնքներին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նշանակություններին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առնչվող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անճշտությունների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ուղղման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գոտիների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ստեղծման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ընդլայնման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շահագործման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17) 1177</w:t>
      </w:r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..0066</w:t>
      </w:r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..22002211արտափողոցային (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ճոպանուղու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մոնոռելսի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ենթակառուցվածքների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տիեզերքի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19) </w:t>
      </w:r>
      <w:proofErr w:type="spellStart"/>
      <w:proofErr w:type="gram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proofErr w:type="gram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A776B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5"/>
        <w:gridCol w:w="4875"/>
      </w:tblGrid>
      <w:tr w:rsidR="001A776B" w:rsidRPr="001A776B" w:rsidTr="001A776B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A776B" w:rsidRPr="001A776B" w:rsidRDefault="001A776B" w:rsidP="001A776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Հայաստանի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Հանրապետության</w:t>
            </w:r>
            <w:proofErr w:type="spellEnd"/>
          </w:p>
          <w:p w:rsidR="001A776B" w:rsidRPr="001A776B" w:rsidRDefault="001A776B" w:rsidP="001A776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վարչապետի</w:t>
            </w:r>
            <w:proofErr w:type="spellEnd"/>
            <w:r w:rsidRPr="001A776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proofErr w:type="spellStart"/>
            <w:r w:rsidRPr="001A776B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</w:rPr>
              <w:t>աշխատակազմ</w:t>
            </w:r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ի</w:t>
            </w:r>
            <w:proofErr w:type="spellEnd"/>
          </w:p>
          <w:p w:rsidR="001A776B" w:rsidRPr="001A776B" w:rsidRDefault="001A776B" w:rsidP="001A776B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ղեկավարի</w:t>
            </w:r>
            <w:proofErr w:type="spellEnd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տեղակալ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A776B" w:rsidRPr="001A776B" w:rsidRDefault="001A776B" w:rsidP="001A776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Ծ. </w:t>
            </w:r>
            <w:proofErr w:type="spellStart"/>
            <w:r w:rsidRPr="001A776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Սողոմոնյան</w:t>
            </w:r>
            <w:proofErr w:type="spellEnd"/>
          </w:p>
        </w:tc>
      </w:tr>
    </w:tbl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A776B">
        <w:rPr>
          <w:rFonts w:ascii="Arial" w:eastAsia="Times New Roman" w:hAnsi="Arial" w:cs="Arial"/>
          <w:color w:val="000000"/>
          <w:sz w:val="21"/>
          <w:szCs w:val="21"/>
        </w:rPr>
        <w:t>             </w:t>
      </w:r>
    </w:p>
    <w:p w:rsidR="001A776B" w:rsidRPr="001A776B" w:rsidRDefault="001A776B" w:rsidP="001A776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՝</w:t>
      </w:r>
      <w:r w:rsidRPr="001A776B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A776B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 xml:space="preserve">17 </w:t>
      </w:r>
      <w:proofErr w:type="spellStart"/>
      <w:r w:rsidRPr="001A776B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հունիսի</w:t>
      </w:r>
      <w:proofErr w:type="spellEnd"/>
      <w:r w:rsidRPr="001A776B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 xml:space="preserve"> 2021 </w:t>
      </w:r>
      <w:proofErr w:type="spellStart"/>
      <w:r w:rsidRPr="001A776B">
        <w:rPr>
          <w:rFonts w:ascii="Arial Unicode" w:eastAsia="Times New Roman" w:hAnsi="Arial Unicode" w:cs="Arial Unicode"/>
          <w:b/>
          <w:bCs/>
          <w:color w:val="000000"/>
          <w:sz w:val="21"/>
          <w:szCs w:val="21"/>
        </w:rPr>
        <w:t>թվական</w:t>
      </w:r>
      <w:proofErr w:type="spellEnd"/>
      <w:r w:rsidRPr="001A776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643451" w:rsidRDefault="00643451"/>
    <w:sectPr w:rsidR="00643451" w:rsidSect="0064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76B"/>
    <w:rsid w:val="000245C6"/>
    <w:rsid w:val="001A776B"/>
    <w:rsid w:val="002915AE"/>
    <w:rsid w:val="003A064A"/>
    <w:rsid w:val="00513F41"/>
    <w:rsid w:val="00643451"/>
    <w:rsid w:val="0067159D"/>
    <w:rsid w:val="007D71AF"/>
    <w:rsid w:val="00C356A3"/>
    <w:rsid w:val="00DD2940"/>
    <w:rsid w:val="00F1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776B"/>
    <w:rPr>
      <w:b/>
      <w:bCs/>
    </w:rPr>
  </w:style>
  <w:style w:type="character" w:styleId="Emphasis">
    <w:name w:val="Emphasis"/>
    <w:basedOn w:val="DefaultParagraphFont"/>
    <w:uiPriority w:val="20"/>
    <w:qFormat/>
    <w:rsid w:val="001A77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sh.nahatakyan</dc:creator>
  <cp:keywords/>
  <dc:description/>
  <cp:lastModifiedBy>sh.nahatakyan</cp:lastModifiedBy>
  <cp:revision>2</cp:revision>
  <dcterms:created xsi:type="dcterms:W3CDTF">2021-06-25T05:35:00Z</dcterms:created>
  <dcterms:modified xsi:type="dcterms:W3CDTF">2021-06-25T05:51:00Z</dcterms:modified>
</cp:coreProperties>
</file>